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9C" w:rsidRPr="005F699C" w:rsidRDefault="005F699C" w:rsidP="00F01A67">
      <w:pPr>
        <w:pStyle w:val="ListParagraph"/>
        <w:spacing w:line="240" w:lineRule="auto"/>
        <w:ind w:left="0"/>
        <w:jc w:val="center"/>
        <w:rPr>
          <w:rFonts w:cs="Calibri"/>
          <w:b/>
          <w:sz w:val="24"/>
          <w:szCs w:val="24"/>
        </w:rPr>
      </w:pPr>
      <w:r w:rsidRPr="005F699C">
        <w:rPr>
          <w:rFonts w:cs="Calibri"/>
          <w:b/>
          <w:sz w:val="24"/>
          <w:szCs w:val="24"/>
        </w:rPr>
        <w:t>BIRLA INSTITUTE OF TECHNOLOGY AND SCIENCE, PILANI - HYDERABAD CAMPUS</w:t>
      </w:r>
      <w:r w:rsidR="00411402">
        <w:rPr>
          <w:rFonts w:cs="Calibri"/>
          <w:b/>
          <w:sz w:val="24"/>
          <w:szCs w:val="24"/>
        </w:rPr>
        <w:t xml:space="preserve">                                                            </w:t>
      </w:r>
      <w:r w:rsidR="004D4F1D">
        <w:rPr>
          <w:rFonts w:cs="Calibri"/>
          <w:b/>
          <w:sz w:val="24"/>
          <w:szCs w:val="24"/>
        </w:rPr>
        <w:t xml:space="preserve">FIRST </w:t>
      </w:r>
      <w:r w:rsidRPr="005F699C">
        <w:rPr>
          <w:rFonts w:cs="Calibri"/>
          <w:b/>
          <w:sz w:val="24"/>
          <w:szCs w:val="24"/>
        </w:rPr>
        <w:t>Semester, 2022-2023</w:t>
      </w:r>
      <w:r w:rsidR="00411402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D4F1D">
        <w:rPr>
          <w:rFonts w:cs="Calibri"/>
          <w:b/>
          <w:sz w:val="24"/>
          <w:szCs w:val="24"/>
        </w:rPr>
        <w:t>MIDSEMESTER</w:t>
      </w:r>
      <w:r w:rsidRPr="005F699C">
        <w:rPr>
          <w:rFonts w:cs="Calibri"/>
          <w:b/>
          <w:sz w:val="24"/>
          <w:szCs w:val="24"/>
        </w:rPr>
        <w:t xml:space="preserve"> EXAM</w:t>
      </w:r>
      <w:r w:rsidR="004D4F1D">
        <w:rPr>
          <w:rFonts w:cs="Calibri"/>
          <w:b/>
          <w:sz w:val="24"/>
          <w:szCs w:val="24"/>
        </w:rPr>
        <w:t>INATION</w:t>
      </w:r>
      <w:r w:rsidR="007B3CB2">
        <w:rPr>
          <w:rFonts w:cs="Calibri"/>
          <w:b/>
          <w:sz w:val="24"/>
          <w:szCs w:val="24"/>
        </w:rPr>
        <w:t>-CLOSED BOOK</w:t>
      </w:r>
    </w:p>
    <w:p w:rsidR="005F699C" w:rsidRPr="005F699C" w:rsidRDefault="005F699C" w:rsidP="00F01A67">
      <w:pPr>
        <w:pStyle w:val="ListParagraph"/>
        <w:ind w:left="0"/>
        <w:rPr>
          <w:rFonts w:cs="Calibri"/>
          <w:b/>
        </w:rPr>
      </w:pPr>
      <w:r w:rsidRPr="005F699C">
        <w:rPr>
          <w:rFonts w:cs="Calibri"/>
          <w:b/>
        </w:rPr>
        <w:t>Course</w:t>
      </w:r>
      <w:r w:rsidR="00411402">
        <w:rPr>
          <w:rFonts w:cs="Calibri"/>
          <w:b/>
        </w:rPr>
        <w:t xml:space="preserve"> Name:  BIOLOGICAL CHEMISTRY    </w:t>
      </w:r>
      <w:r w:rsidRPr="005F699C">
        <w:rPr>
          <w:rFonts w:cs="Calibri"/>
          <w:b/>
        </w:rPr>
        <w:t xml:space="preserve">        </w:t>
      </w:r>
      <w:r w:rsidR="00EB45D3">
        <w:rPr>
          <w:rFonts w:cs="Calibri"/>
          <w:b/>
        </w:rPr>
        <w:t xml:space="preserve">                 </w:t>
      </w:r>
      <w:r w:rsidR="00EB45D3">
        <w:rPr>
          <w:rFonts w:cs="Calibri"/>
          <w:b/>
        </w:rPr>
        <w:tab/>
      </w:r>
      <w:r w:rsidR="00EB45D3">
        <w:rPr>
          <w:rFonts w:cs="Calibri"/>
          <w:b/>
        </w:rPr>
        <w:tab/>
      </w:r>
      <w:r w:rsidR="00EB45D3">
        <w:rPr>
          <w:rFonts w:cs="Calibri"/>
          <w:b/>
        </w:rPr>
        <w:tab/>
      </w:r>
      <w:r w:rsidR="00EB45D3">
        <w:rPr>
          <w:rFonts w:cs="Calibri"/>
          <w:b/>
        </w:rPr>
        <w:tab/>
        <w:t xml:space="preserve">       </w:t>
      </w:r>
      <w:r w:rsidRPr="005F699C">
        <w:rPr>
          <w:rFonts w:cs="Calibri"/>
          <w:b/>
        </w:rPr>
        <w:t>Course Number: BIOF211</w:t>
      </w:r>
    </w:p>
    <w:p w:rsidR="005F699C" w:rsidRPr="005F699C" w:rsidRDefault="005F699C" w:rsidP="007B3CB2">
      <w:pPr>
        <w:pStyle w:val="ListParagraph"/>
        <w:pBdr>
          <w:bottom w:val="single" w:sz="12" w:space="2" w:color="auto"/>
        </w:pBdr>
        <w:ind w:left="0"/>
        <w:rPr>
          <w:rFonts w:cs="Calibri"/>
          <w:b/>
          <w:color w:val="000000"/>
        </w:rPr>
      </w:pPr>
      <w:r w:rsidRPr="005F699C">
        <w:rPr>
          <w:rFonts w:cs="Calibri"/>
          <w:b/>
          <w:color w:val="000000"/>
        </w:rPr>
        <w:t xml:space="preserve">Max. Marks: 60                     </w:t>
      </w:r>
      <w:r w:rsidR="004D4F1D">
        <w:rPr>
          <w:rFonts w:cs="Calibri"/>
          <w:b/>
          <w:color w:val="000000"/>
        </w:rPr>
        <w:t xml:space="preserve">                  </w:t>
      </w:r>
      <w:r w:rsidR="004D4F1D">
        <w:rPr>
          <w:rFonts w:cs="Calibri"/>
          <w:b/>
          <w:color w:val="000000"/>
        </w:rPr>
        <w:tab/>
      </w:r>
      <w:r w:rsidR="004D4F1D">
        <w:rPr>
          <w:rFonts w:cs="Calibri"/>
          <w:b/>
          <w:color w:val="000000"/>
        </w:rPr>
        <w:tab/>
        <w:t>Duration: 90</w:t>
      </w:r>
      <w:r w:rsidRPr="005F699C">
        <w:rPr>
          <w:rFonts w:cs="Calibri"/>
          <w:b/>
          <w:color w:val="000000"/>
        </w:rPr>
        <w:t xml:space="preserve"> minutes                          </w:t>
      </w:r>
      <w:r w:rsidR="00EB45D3">
        <w:rPr>
          <w:rFonts w:cs="Calibri"/>
          <w:b/>
          <w:color w:val="000000"/>
        </w:rPr>
        <w:t xml:space="preserve">               </w:t>
      </w:r>
      <w:r w:rsidRPr="005F699C">
        <w:rPr>
          <w:rFonts w:cs="Calibri"/>
          <w:b/>
          <w:color w:val="000000"/>
        </w:rPr>
        <w:t xml:space="preserve">Date: 31-10-2022 </w:t>
      </w:r>
    </w:p>
    <w:p w:rsidR="00F17B5B" w:rsidRPr="00F17B5B" w:rsidRDefault="005F699C" w:rsidP="00F17B5B">
      <w:pPr>
        <w:pStyle w:val="ListParagraph"/>
        <w:ind w:left="0"/>
        <w:rPr>
          <w:rFonts w:cs="Calibri"/>
          <w:b/>
          <w:color w:val="000000"/>
          <w:sz w:val="20"/>
          <w:szCs w:val="20"/>
        </w:rPr>
      </w:pPr>
      <w:r w:rsidRPr="00F17B5B">
        <w:rPr>
          <w:rFonts w:cs="Calibri"/>
          <w:b/>
          <w:color w:val="000000"/>
          <w:sz w:val="20"/>
          <w:szCs w:val="20"/>
        </w:rPr>
        <w:t>INSTRUCTIONS</w:t>
      </w:r>
      <w:r w:rsidR="007B3CB2" w:rsidRPr="00F17B5B">
        <w:rPr>
          <w:rFonts w:cs="Calibri"/>
          <w:b/>
          <w:color w:val="000000"/>
          <w:sz w:val="20"/>
          <w:szCs w:val="20"/>
        </w:rPr>
        <w:t xml:space="preserve">: </w:t>
      </w:r>
      <w:r w:rsidR="00F17B5B" w:rsidRPr="00F17B5B">
        <w:rPr>
          <w:rFonts w:cs="Arial"/>
          <w:b/>
          <w:color w:val="000000"/>
          <w:sz w:val="20"/>
          <w:szCs w:val="20"/>
        </w:rPr>
        <w:t xml:space="preserve">There are FOUR questions in all. </w:t>
      </w:r>
      <w:r w:rsidR="00F17B5B" w:rsidRPr="00F17B5B">
        <w:rPr>
          <w:rFonts w:cs="Calibri"/>
          <w:b/>
          <w:color w:val="000000"/>
          <w:sz w:val="20"/>
          <w:szCs w:val="20"/>
        </w:rPr>
        <w:t xml:space="preserve">Answer all the sections of a question together, all questions are compulsory.  </w:t>
      </w:r>
    </w:p>
    <w:p w:rsidR="00F17B5B" w:rsidRDefault="00F17B5B" w:rsidP="00F17B5B">
      <w:pPr>
        <w:pStyle w:val="ListParagraph"/>
        <w:pBdr>
          <w:bottom w:val="single" w:sz="12" w:space="1" w:color="auto"/>
        </w:pBdr>
        <w:tabs>
          <w:tab w:val="left" w:pos="10620"/>
        </w:tabs>
        <w:ind w:left="0"/>
        <w:jc w:val="both"/>
        <w:rPr>
          <w:rFonts w:cs="Arial"/>
          <w:b/>
          <w:color w:val="000000"/>
          <w:sz w:val="20"/>
          <w:szCs w:val="20"/>
          <w:u w:val="single"/>
        </w:rPr>
      </w:pPr>
      <w:r w:rsidRPr="00F17B5B">
        <w:rPr>
          <w:rFonts w:cs="Arial"/>
          <w:b/>
          <w:color w:val="000000"/>
          <w:sz w:val="20"/>
          <w:szCs w:val="20"/>
        </w:rPr>
        <w:t>Ensure t</w:t>
      </w:r>
      <w:r>
        <w:rPr>
          <w:rFonts w:cs="Arial"/>
          <w:b/>
          <w:color w:val="000000"/>
          <w:sz w:val="20"/>
          <w:szCs w:val="20"/>
        </w:rPr>
        <w:t xml:space="preserve">hat both sides of the paper are </w:t>
      </w:r>
      <w:r w:rsidRPr="00F17B5B">
        <w:rPr>
          <w:rFonts w:cs="Arial"/>
          <w:b/>
          <w:color w:val="000000"/>
          <w:sz w:val="20"/>
          <w:szCs w:val="20"/>
        </w:rPr>
        <w:t>printed. Start answering each question on a fresh page and answer all parts of the question together. Pencil should not be used.  Provide concise answers.</w:t>
      </w:r>
      <w:r w:rsidRPr="00F17B5B">
        <w:rPr>
          <w:rFonts w:cs="Arial"/>
          <w:b/>
          <w:color w:val="000000"/>
          <w:sz w:val="20"/>
          <w:szCs w:val="20"/>
          <w:u w:val="single"/>
        </w:rPr>
        <w:t xml:space="preserve"> </w:t>
      </w: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</w:pPr>
      <w:proofErr w:type="gramStart"/>
      <w:r w:rsidRPr="00F17B5B">
        <w:rPr>
          <w:b/>
          <w:bCs/>
        </w:rPr>
        <w:t>1(A).</w:t>
      </w:r>
      <w:r w:rsidRPr="00F17B5B">
        <w:t>Why are</w:t>
      </w:r>
      <w:proofErr w:type="gramEnd"/>
      <w:r w:rsidRPr="00F17B5B">
        <w:t xml:space="preserve"> negatively charged residues, aspartic acid and glutamic acid more </w:t>
      </w:r>
      <w:r w:rsidR="004D4F1D" w:rsidRPr="00F17B5B">
        <w:t xml:space="preserve">common towards </w:t>
      </w:r>
      <w:r w:rsidRPr="00F17B5B">
        <w:t xml:space="preserve">the N-terminus of α- helices?  Why is Proline not observed in the middle of </w:t>
      </w:r>
      <w:proofErr w:type="gramStart"/>
      <w:r w:rsidRPr="00F17B5B">
        <w:t>the of</w:t>
      </w:r>
      <w:proofErr w:type="gramEnd"/>
      <w:r w:rsidRPr="00F17B5B">
        <w:t xml:space="preserve"> </w:t>
      </w:r>
      <w:r w:rsidR="004D4F1D" w:rsidRPr="00F17B5B">
        <w:t>α</w:t>
      </w:r>
      <w:r w:rsidRPr="00F17B5B">
        <w:t>-helices?</w:t>
      </w:r>
      <w:r w:rsidR="00EB45D3" w:rsidRPr="00F17B5B">
        <w:t xml:space="preserve">                          </w:t>
      </w:r>
      <w:r w:rsidR="00F17B5B">
        <w:t xml:space="preserve">                                               </w:t>
      </w:r>
      <w:r w:rsidR="00437470" w:rsidRPr="00F17B5B">
        <w:rPr>
          <w:b/>
          <w:bCs/>
          <w:i/>
          <w:iCs/>
          <w:u w:val="single"/>
        </w:rPr>
        <w:t>(5M)</w:t>
      </w: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u w:val="single"/>
        </w:rPr>
      </w:pPr>
      <w:proofErr w:type="gramStart"/>
      <w:r w:rsidRPr="00F17B5B">
        <w:rPr>
          <w:b/>
          <w:bCs/>
        </w:rPr>
        <w:t>1(B).</w:t>
      </w:r>
      <w:proofErr w:type="gramEnd"/>
      <w:r w:rsidRPr="00F17B5B">
        <w:t xml:space="preserve"> Write the single letter codes for the following amino acids: Glutamine, L</w:t>
      </w:r>
      <w:r w:rsidR="00F17B5B">
        <w:t xml:space="preserve">ysine, Tryptophan, Glutamic acid. </w:t>
      </w:r>
      <w:r w:rsidR="004D4F1D" w:rsidRPr="00F17B5B">
        <w:rPr>
          <w:rFonts w:cs="Arial"/>
          <w:b/>
          <w:bCs/>
          <w:i/>
          <w:iCs/>
          <w:u w:val="single"/>
        </w:rPr>
        <w:t>(5M)</w:t>
      </w:r>
    </w:p>
    <w:p w:rsidR="005F699C" w:rsidRPr="00F17B5B" w:rsidRDefault="00437470" w:rsidP="00F01A67">
      <w:pPr>
        <w:autoSpaceDE w:val="0"/>
        <w:autoSpaceDN w:val="0"/>
        <w:adjustRightInd w:val="0"/>
        <w:spacing w:after="0" w:line="240" w:lineRule="auto"/>
      </w:pPr>
      <w:proofErr w:type="gramStart"/>
      <w:r w:rsidRPr="00F17B5B">
        <w:rPr>
          <w:b/>
          <w:bCs/>
          <w:iCs/>
        </w:rPr>
        <w:t>1(C</w:t>
      </w:r>
      <w:r w:rsidR="005F699C" w:rsidRPr="00F17B5B">
        <w:rPr>
          <w:b/>
          <w:bCs/>
          <w:iCs/>
        </w:rPr>
        <w:t>).</w:t>
      </w:r>
      <w:proofErr w:type="gramEnd"/>
      <w:r w:rsidR="005F699C" w:rsidRPr="00F17B5B">
        <w:rPr>
          <w:iCs/>
        </w:rPr>
        <w:t xml:space="preserve"> Consider you have a mixture of five different prote</w:t>
      </w:r>
      <w:r w:rsidR="00F1782E" w:rsidRPr="00F17B5B">
        <w:rPr>
          <w:iCs/>
        </w:rPr>
        <w:t xml:space="preserve">ins listed in the table below: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620"/>
        <w:gridCol w:w="900"/>
        <w:gridCol w:w="990"/>
      </w:tblGrid>
      <w:tr w:rsidR="00F01A67" w:rsidRPr="00F17B5B" w:rsidTr="00F17B5B">
        <w:trPr>
          <w:trHeight w:val="340"/>
        </w:trPr>
        <w:tc>
          <w:tcPr>
            <w:tcW w:w="558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#</w:t>
            </w:r>
          </w:p>
        </w:tc>
        <w:tc>
          <w:tcPr>
            <w:tcW w:w="162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Protein</w:t>
            </w:r>
          </w:p>
        </w:tc>
        <w:tc>
          <w:tcPr>
            <w:tcW w:w="90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F17B5B">
              <w:rPr>
                <w:b/>
                <w:bCs/>
                <w:iCs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99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Mol. wt.</w:t>
            </w:r>
          </w:p>
        </w:tc>
      </w:tr>
      <w:tr w:rsidR="00F01A67" w:rsidRPr="00F17B5B" w:rsidTr="00F17B5B">
        <w:trPr>
          <w:trHeight w:val="340"/>
        </w:trPr>
        <w:tc>
          <w:tcPr>
            <w:tcW w:w="558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Myoglobin</w:t>
            </w:r>
          </w:p>
        </w:tc>
        <w:tc>
          <w:tcPr>
            <w:tcW w:w="90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16.7</w:t>
            </w:r>
          </w:p>
        </w:tc>
      </w:tr>
      <w:tr w:rsidR="00F01A67" w:rsidRPr="00F17B5B" w:rsidTr="00F17B5B">
        <w:trPr>
          <w:trHeight w:val="328"/>
        </w:trPr>
        <w:tc>
          <w:tcPr>
            <w:tcW w:w="558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62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Ubiquitin</w:t>
            </w:r>
          </w:p>
        </w:tc>
        <w:tc>
          <w:tcPr>
            <w:tcW w:w="90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6.4</w:t>
            </w:r>
          </w:p>
        </w:tc>
        <w:tc>
          <w:tcPr>
            <w:tcW w:w="99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8.5</w:t>
            </w:r>
          </w:p>
        </w:tc>
      </w:tr>
      <w:tr w:rsidR="00F01A67" w:rsidRPr="00F17B5B" w:rsidTr="00F17B5B">
        <w:trPr>
          <w:trHeight w:val="340"/>
        </w:trPr>
        <w:tc>
          <w:tcPr>
            <w:tcW w:w="558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62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Ovalbumin</w:t>
            </w:r>
          </w:p>
        </w:tc>
        <w:tc>
          <w:tcPr>
            <w:tcW w:w="90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4.6</w:t>
            </w:r>
          </w:p>
        </w:tc>
        <w:tc>
          <w:tcPr>
            <w:tcW w:w="99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45</w:t>
            </w:r>
          </w:p>
        </w:tc>
      </w:tr>
      <w:tr w:rsidR="00F01A67" w:rsidRPr="00F17B5B" w:rsidTr="00F17B5B">
        <w:trPr>
          <w:trHeight w:val="340"/>
        </w:trPr>
        <w:tc>
          <w:tcPr>
            <w:tcW w:w="558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Cytochrome c</w:t>
            </w:r>
          </w:p>
        </w:tc>
        <w:tc>
          <w:tcPr>
            <w:tcW w:w="90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10.6</w:t>
            </w:r>
          </w:p>
        </w:tc>
        <w:tc>
          <w:tcPr>
            <w:tcW w:w="99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13</w:t>
            </w:r>
          </w:p>
        </w:tc>
      </w:tr>
      <w:tr w:rsidR="00F01A67" w:rsidRPr="00F17B5B" w:rsidTr="00F17B5B">
        <w:trPr>
          <w:trHeight w:val="340"/>
        </w:trPr>
        <w:tc>
          <w:tcPr>
            <w:tcW w:w="558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620" w:type="dxa"/>
          </w:tcPr>
          <w:p w:rsidR="00223847" w:rsidRPr="00F17B5B" w:rsidRDefault="00223847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Serum albumin</w:t>
            </w:r>
          </w:p>
        </w:tc>
        <w:tc>
          <w:tcPr>
            <w:tcW w:w="900" w:type="dxa"/>
          </w:tcPr>
          <w:p w:rsidR="00223847" w:rsidRPr="00F17B5B" w:rsidRDefault="00411402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4.9</w:t>
            </w:r>
          </w:p>
        </w:tc>
        <w:tc>
          <w:tcPr>
            <w:tcW w:w="990" w:type="dxa"/>
          </w:tcPr>
          <w:p w:rsidR="00223847" w:rsidRPr="00F17B5B" w:rsidRDefault="00411402" w:rsidP="00F01A67">
            <w:pPr>
              <w:spacing w:line="36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17B5B">
              <w:rPr>
                <w:b/>
                <w:bCs/>
                <w:iCs/>
                <w:sz w:val="20"/>
                <w:szCs w:val="20"/>
              </w:rPr>
              <w:t>68.5</w:t>
            </w:r>
          </w:p>
        </w:tc>
      </w:tr>
    </w:tbl>
    <w:p w:rsidR="00437470" w:rsidRPr="00F17B5B" w:rsidRDefault="00437470" w:rsidP="00F01A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:rsidR="00437470" w:rsidRPr="00F17B5B" w:rsidRDefault="00437470" w:rsidP="00F01A67">
      <w:pPr>
        <w:autoSpaceDE w:val="0"/>
        <w:autoSpaceDN w:val="0"/>
        <w:adjustRightInd w:val="0"/>
        <w:spacing w:after="0" w:line="240" w:lineRule="auto"/>
      </w:pPr>
      <w:r w:rsidRPr="00F17B5B">
        <w:rPr>
          <w:b/>
          <w:bCs/>
        </w:rPr>
        <w:t>(</w:t>
      </w:r>
      <w:proofErr w:type="gramStart"/>
      <w:r w:rsidRPr="00F17B5B">
        <w:rPr>
          <w:b/>
          <w:bCs/>
        </w:rPr>
        <w:t>i</w:t>
      </w:r>
      <w:proofErr w:type="gramEnd"/>
      <w:r w:rsidRPr="00F17B5B">
        <w:rPr>
          <w:b/>
          <w:bCs/>
        </w:rPr>
        <w:t>)</w:t>
      </w:r>
      <w:r w:rsidRPr="00F17B5B">
        <w:t xml:space="preserve">Indicate the order in which the proteins listed in the above table will elute from a gel-filtration column (starting with the one that elutes first).  </w:t>
      </w:r>
    </w:p>
    <w:p w:rsidR="00437470" w:rsidRPr="00F17B5B" w:rsidRDefault="00437470" w:rsidP="00F01A67">
      <w:pPr>
        <w:autoSpaceDE w:val="0"/>
        <w:autoSpaceDN w:val="0"/>
        <w:adjustRightInd w:val="0"/>
        <w:spacing w:after="0" w:line="240" w:lineRule="auto"/>
      </w:pPr>
      <w:r w:rsidRPr="00F17B5B">
        <w:rPr>
          <w:b/>
          <w:bCs/>
        </w:rPr>
        <w:t>(ii)</w:t>
      </w:r>
      <w:r w:rsidRPr="00F17B5B">
        <w:t>You load this mixture on a cation exchange column (i.e. column that bears negatively charged groups). The buffer you use for this column is acetate buffer, pH 4.76. List protein(s) that will be eluted fast (i.e</w:t>
      </w:r>
      <w:r w:rsidR="00F01A67" w:rsidRPr="00F17B5B">
        <w:t>. will not bind to the column).</w:t>
      </w:r>
      <w:r w:rsidR="00EB45D3" w:rsidRPr="00F17B5B">
        <w:t xml:space="preserve">                                                                                                                       </w:t>
      </w:r>
      <w:r w:rsidR="00F17B5B">
        <w:t xml:space="preserve">                                                                </w:t>
      </w:r>
      <w:r w:rsidRPr="00F17B5B">
        <w:rPr>
          <w:b/>
          <w:bCs/>
          <w:i/>
          <w:iCs/>
          <w:u w:val="single"/>
        </w:rPr>
        <w:t>(6M)</w:t>
      </w:r>
    </w:p>
    <w:p w:rsidR="00437470" w:rsidRPr="00F17B5B" w:rsidRDefault="00437470" w:rsidP="00F01A67">
      <w:pPr>
        <w:autoSpaceDE w:val="0"/>
        <w:autoSpaceDN w:val="0"/>
        <w:adjustRightInd w:val="0"/>
        <w:spacing w:after="0" w:line="240" w:lineRule="auto"/>
      </w:pPr>
      <w:proofErr w:type="gramStart"/>
      <w:r w:rsidRPr="00F17B5B">
        <w:rPr>
          <w:b/>
          <w:bCs/>
        </w:rPr>
        <w:t>1(D).</w:t>
      </w:r>
      <w:proofErr w:type="gramEnd"/>
      <w:r w:rsidRPr="00F17B5B">
        <w:t xml:space="preserve"> List 5 forces that are responsible for maintaining the correct three-dimensional structure of proteins.   Indicate the amino acid pair that is involved in each type of interaction.</w:t>
      </w:r>
      <w:r w:rsidR="00F01A67" w:rsidRPr="00F17B5B">
        <w:t xml:space="preserve"> </w:t>
      </w:r>
      <w:r w:rsidR="00EB45D3" w:rsidRPr="00F17B5B">
        <w:t xml:space="preserve">                                                </w:t>
      </w:r>
      <w:r w:rsidR="00F17B5B">
        <w:t xml:space="preserve">                                     </w:t>
      </w:r>
      <w:r w:rsidRPr="00F17B5B">
        <w:rPr>
          <w:b/>
          <w:bCs/>
          <w:i/>
          <w:iCs/>
          <w:u w:val="single"/>
        </w:rPr>
        <w:t>(5M)</w:t>
      </w:r>
    </w:p>
    <w:p w:rsidR="00437470" w:rsidRPr="00F17B5B" w:rsidRDefault="00437470" w:rsidP="00F01A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</w:rPr>
      </w:pPr>
    </w:p>
    <w:p w:rsidR="005F699C" w:rsidRPr="00F17B5B" w:rsidRDefault="005F699C" w:rsidP="00F01A67">
      <w:pPr>
        <w:spacing w:after="100" w:afterAutospacing="1" w:line="240" w:lineRule="auto"/>
        <w:rPr>
          <w:rFonts w:eastAsia="Times New Roman"/>
        </w:rPr>
      </w:pPr>
      <w:proofErr w:type="gramStart"/>
      <w:r w:rsidRPr="00F17B5B">
        <w:rPr>
          <w:rFonts w:eastAsia="Times New Roman"/>
          <w:b/>
          <w:bCs/>
          <w:spacing w:val="-15"/>
        </w:rPr>
        <w:t>2(A).</w:t>
      </w:r>
      <w:proofErr w:type="gramEnd"/>
      <w:r w:rsidRPr="00F17B5B">
        <w:rPr>
          <w:rFonts w:eastAsia="Times New Roman"/>
          <w:spacing w:val="-15"/>
        </w:rPr>
        <w:t xml:space="preserve"> When bacteria growing at 20°</w:t>
      </w:r>
      <w:proofErr w:type="spellStart"/>
      <w:r w:rsidRPr="00F17B5B">
        <w:rPr>
          <w:rFonts w:eastAsia="Times New Roman"/>
          <w:spacing w:val="-15"/>
        </w:rPr>
        <w:t>C are</w:t>
      </w:r>
      <w:proofErr w:type="spellEnd"/>
      <w:r w:rsidRPr="00F17B5B">
        <w:rPr>
          <w:rFonts w:eastAsia="Times New Roman"/>
          <w:spacing w:val="-15"/>
        </w:rPr>
        <w:t xml:space="preserve"> warmed to 30°C, are they more likely to synthesize membrane </w:t>
      </w:r>
      <w:r w:rsidR="00437470" w:rsidRPr="00F17B5B">
        <w:rPr>
          <w:rFonts w:eastAsia="Times New Roman"/>
          <w:spacing w:val="-15"/>
        </w:rPr>
        <w:t>lipids with</w:t>
      </w:r>
      <w:r w:rsidRPr="00F17B5B">
        <w:rPr>
          <w:rFonts w:eastAsia="Times New Roman"/>
        </w:rPr>
        <w:t xml:space="preserve"> </w:t>
      </w:r>
      <w:r w:rsidRPr="00F17B5B">
        <w:rPr>
          <w:rFonts w:eastAsia="Times New Roman"/>
          <w:b/>
          <w:u w:val="single"/>
        </w:rPr>
        <w:t>(i)</w:t>
      </w:r>
      <w:r w:rsidRPr="00F17B5B">
        <w:rPr>
          <w:rFonts w:eastAsia="Times New Roman"/>
        </w:rPr>
        <w:t xml:space="preserve"> saturated or unsaturated fatty acids, and </w:t>
      </w:r>
      <w:r w:rsidRPr="00F17B5B">
        <w:rPr>
          <w:rFonts w:eastAsia="Times New Roman"/>
          <w:b/>
          <w:u w:val="single"/>
        </w:rPr>
        <w:t>(ii)</w:t>
      </w:r>
      <w:r w:rsidRPr="00F17B5B">
        <w:rPr>
          <w:rFonts w:eastAsia="Times New Roman"/>
        </w:rPr>
        <w:t xml:space="preserve"> short-chain or long-chain fatty acids? Explain.</w:t>
      </w:r>
      <w:r w:rsidR="00437470" w:rsidRPr="00F17B5B">
        <w:rPr>
          <w:rFonts w:eastAsia="Times New Roman"/>
        </w:rPr>
        <w:t xml:space="preserve"> </w:t>
      </w:r>
      <w:r w:rsidR="00EB45D3" w:rsidRPr="00F17B5B">
        <w:rPr>
          <w:rFonts w:eastAsia="Times New Roman"/>
        </w:rPr>
        <w:t xml:space="preserve">            </w:t>
      </w:r>
      <w:r w:rsidR="00F17B5B">
        <w:rPr>
          <w:rFonts w:eastAsia="Times New Roman"/>
        </w:rPr>
        <w:t xml:space="preserve">                                              </w:t>
      </w:r>
      <w:r w:rsidR="00EB45D3" w:rsidRPr="00F17B5B">
        <w:rPr>
          <w:rFonts w:eastAsia="Times New Roman"/>
        </w:rPr>
        <w:t xml:space="preserve"> </w:t>
      </w:r>
      <w:proofErr w:type="gramStart"/>
      <w:r w:rsidR="00437470" w:rsidRPr="00F17B5B">
        <w:rPr>
          <w:rFonts w:eastAsia="Times New Roman"/>
          <w:b/>
          <w:bCs/>
          <w:i/>
          <w:iCs/>
          <w:u w:val="single"/>
        </w:rPr>
        <w:t>(4M)</w:t>
      </w:r>
      <w:r w:rsidR="00F1782E" w:rsidRPr="00F17B5B">
        <w:rPr>
          <w:rFonts w:eastAsia="Times New Roman"/>
        </w:rPr>
        <w:t xml:space="preserve">                                                                </w:t>
      </w:r>
      <w:r w:rsidR="00F1782E" w:rsidRPr="00F17B5B">
        <w:rPr>
          <w:rFonts w:eastAsia="Times New Roman"/>
          <w:b/>
          <w:bCs/>
        </w:rPr>
        <w:t>2(B).</w:t>
      </w:r>
      <w:proofErr w:type="gramEnd"/>
      <w:r w:rsidR="00F1782E" w:rsidRPr="00F17B5B">
        <w:rPr>
          <w:rFonts w:eastAsia="Times New Roman"/>
        </w:rPr>
        <w:t xml:space="preserve"> </w:t>
      </w:r>
      <w:r w:rsidRPr="00F17B5B">
        <w:rPr>
          <w:rFonts w:eastAsia="Times New Roman"/>
        </w:rPr>
        <w:t>Draw a schematic drawing of a portion of a lipid bilayer. What is the energetic driving force for the formation of phospholipid</w:t>
      </w:r>
      <w:r w:rsidR="00437470" w:rsidRPr="00F17B5B">
        <w:rPr>
          <w:rFonts w:eastAsia="Times New Roman"/>
        </w:rPr>
        <w:t xml:space="preserve"> membrane</w:t>
      </w:r>
      <w:r w:rsidRPr="00F17B5B">
        <w:rPr>
          <w:rFonts w:eastAsia="Times New Roman"/>
        </w:rPr>
        <w:t xml:space="preserve"> </w:t>
      </w:r>
      <w:proofErr w:type="gramStart"/>
      <w:r w:rsidRPr="00F17B5B">
        <w:rPr>
          <w:rFonts w:eastAsia="Times New Roman"/>
        </w:rPr>
        <w:t>bilayers.</w:t>
      </w:r>
      <w:proofErr w:type="gramEnd"/>
      <w:r w:rsidR="00437470" w:rsidRPr="00F17B5B">
        <w:rPr>
          <w:rFonts w:eastAsia="Times New Roman"/>
        </w:rPr>
        <w:t xml:space="preserve"> </w:t>
      </w:r>
      <w:r w:rsidR="00EB45D3" w:rsidRPr="00F17B5B">
        <w:rPr>
          <w:rFonts w:eastAsia="Times New Roman"/>
        </w:rPr>
        <w:t xml:space="preserve">                                                                                         </w:t>
      </w:r>
      <w:r w:rsidR="00F17B5B">
        <w:rPr>
          <w:rFonts w:eastAsia="Times New Roman"/>
        </w:rPr>
        <w:t xml:space="preserve">                                                </w:t>
      </w:r>
      <w:proofErr w:type="gramStart"/>
      <w:r w:rsidR="00437470" w:rsidRPr="00F17B5B">
        <w:rPr>
          <w:rFonts w:eastAsia="Times New Roman"/>
          <w:b/>
          <w:bCs/>
          <w:i/>
          <w:iCs/>
          <w:u w:val="single"/>
        </w:rPr>
        <w:t>(4M)</w:t>
      </w:r>
      <w:r w:rsidRPr="00F17B5B">
        <w:rPr>
          <w:rFonts w:eastAsia="Times New Roman"/>
        </w:rPr>
        <w:t xml:space="preserve"> </w:t>
      </w:r>
      <w:r w:rsidR="00F1782E" w:rsidRPr="00F17B5B">
        <w:rPr>
          <w:rFonts w:eastAsia="Times New Roman"/>
        </w:rPr>
        <w:t xml:space="preserve">                                                                                                                                    </w:t>
      </w:r>
      <w:r w:rsidR="00437470" w:rsidRPr="00F17B5B">
        <w:rPr>
          <w:rFonts w:eastAsia="Times New Roman"/>
        </w:rPr>
        <w:t xml:space="preserve">                                       </w:t>
      </w:r>
      <w:r w:rsidR="00F1782E" w:rsidRPr="00F17B5B">
        <w:rPr>
          <w:rFonts w:eastAsia="Times New Roman"/>
          <w:b/>
          <w:bCs/>
        </w:rPr>
        <w:t>2(C</w:t>
      </w:r>
      <w:r w:rsidRPr="00F17B5B">
        <w:rPr>
          <w:rFonts w:eastAsia="Times New Roman"/>
          <w:b/>
          <w:bCs/>
        </w:rPr>
        <w:t>).</w:t>
      </w:r>
      <w:proofErr w:type="gramEnd"/>
      <w:r w:rsidRPr="00F17B5B">
        <w:rPr>
          <w:rFonts w:eastAsia="Times New Roman"/>
          <w:b/>
          <w:bCs/>
        </w:rPr>
        <w:t xml:space="preserve"> </w:t>
      </w:r>
      <w:r w:rsidRPr="00F17B5B">
        <w:t xml:space="preserve">Given below is Fischer representation of glucose. Which one of the labeled carbons is </w:t>
      </w:r>
      <w:proofErr w:type="spellStart"/>
      <w:proofErr w:type="gramStart"/>
      <w:r w:rsidRPr="00F17B5B">
        <w:t>epimeric</w:t>
      </w:r>
      <w:proofErr w:type="spellEnd"/>
      <w:r w:rsidRPr="00F17B5B">
        <w:t>.</w:t>
      </w:r>
      <w:proofErr w:type="gramEnd"/>
      <w:r w:rsidRPr="00F17B5B">
        <w:t xml:space="preserve"> What is the basis of your choice?   Draw the </w:t>
      </w:r>
      <w:proofErr w:type="spellStart"/>
      <w:r w:rsidRPr="00F17B5B">
        <w:t>Howarth</w:t>
      </w:r>
      <w:proofErr w:type="spellEnd"/>
      <w:r w:rsidRPr="00F17B5B">
        <w:t xml:space="preserve"> representation for</w:t>
      </w:r>
      <w:r w:rsidRPr="00F17B5B">
        <w:rPr>
          <w:rFonts w:ascii="Symbol" w:hAnsi="Symbol"/>
        </w:rPr>
        <w:t></w:t>
      </w:r>
      <w:r w:rsidR="00EB45D3" w:rsidRPr="00F17B5B">
        <w:rPr>
          <w:rFonts w:ascii="Calibri" w:hAnsi="Calibri"/>
        </w:rPr>
        <w:t>β</w:t>
      </w:r>
      <w:r w:rsidRPr="00F17B5B">
        <w:t>-D glucose.</w:t>
      </w:r>
      <w:r w:rsidR="00437470" w:rsidRPr="00F17B5B">
        <w:t xml:space="preserve"> </w:t>
      </w:r>
      <w:r w:rsidR="00EB45D3" w:rsidRPr="00F17B5B">
        <w:t xml:space="preserve">                                   </w:t>
      </w:r>
      <w:r w:rsidR="00F17B5B">
        <w:t xml:space="preserve">                                         </w:t>
      </w:r>
      <w:r w:rsidR="00437470" w:rsidRPr="00F17B5B">
        <w:rPr>
          <w:b/>
          <w:bCs/>
          <w:i/>
          <w:iCs/>
          <w:u w:val="single"/>
        </w:rPr>
        <w:t>(4M)</w:t>
      </w:r>
    </w:p>
    <w:p w:rsidR="005F699C" w:rsidRPr="00F17B5B" w:rsidRDefault="005F699C" w:rsidP="00F01A67">
      <w:pPr>
        <w:spacing w:before="100" w:beforeAutospacing="1" w:after="100" w:afterAutospacing="1" w:line="240" w:lineRule="auto"/>
        <w:ind w:hanging="270"/>
        <w:jc w:val="center"/>
        <w:rPr>
          <w:rFonts w:ascii="Times New Roman" w:eastAsia="Arial Unicode MS" w:hAnsi="Times New Roman"/>
          <w:b/>
        </w:rPr>
      </w:pPr>
      <w:r w:rsidRPr="00F17B5B">
        <w:rPr>
          <w:rFonts w:ascii="Times New Roman" w:hAnsi="Times New Roman"/>
          <w:noProof/>
        </w:rPr>
        <w:drawing>
          <wp:inline distT="0" distB="0" distL="0" distR="0" wp14:anchorId="2403A443" wp14:editId="3AC17256">
            <wp:extent cx="966935" cy="15144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" r="74698" b="24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97" cy="152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F699C" w:rsidRPr="00F17B5B" w:rsidRDefault="00F1782E" w:rsidP="00F01A67">
      <w:pPr>
        <w:spacing w:before="100" w:beforeAutospacing="1" w:after="100" w:afterAutospacing="1" w:line="240" w:lineRule="auto"/>
        <w:rPr>
          <w:rFonts w:eastAsia="Arial Unicode MS"/>
          <w:b/>
        </w:rPr>
      </w:pPr>
      <w:proofErr w:type="gramStart"/>
      <w:r w:rsidRPr="00F17B5B">
        <w:rPr>
          <w:rFonts w:eastAsia="Times New Roman"/>
          <w:b/>
        </w:rPr>
        <w:t>3(A</w:t>
      </w:r>
      <w:r w:rsidR="005F699C" w:rsidRPr="00F17B5B">
        <w:rPr>
          <w:rFonts w:eastAsia="Times New Roman"/>
          <w:b/>
        </w:rPr>
        <w:t>).</w:t>
      </w:r>
      <w:proofErr w:type="gramEnd"/>
      <w:r w:rsidR="005F699C" w:rsidRPr="00F17B5B">
        <w:rPr>
          <w:rFonts w:eastAsia="Times New Roman"/>
          <w:bCs/>
        </w:rPr>
        <w:t xml:space="preserve"> What are the reasons for why guanine pairs with cytosine and not with </w:t>
      </w:r>
      <w:proofErr w:type="gramStart"/>
      <w:r w:rsidR="005F699C" w:rsidRPr="00F17B5B">
        <w:rPr>
          <w:rFonts w:eastAsia="Times New Roman"/>
          <w:bCs/>
        </w:rPr>
        <w:t>thymine</w:t>
      </w:r>
      <w:r w:rsidR="00437470" w:rsidRPr="00F17B5B">
        <w:rPr>
          <w:rFonts w:eastAsia="Times New Roman"/>
          <w:bCs/>
        </w:rPr>
        <w:t>.</w:t>
      </w:r>
      <w:proofErr w:type="gramEnd"/>
      <w:r w:rsidR="00437470" w:rsidRPr="00F17B5B">
        <w:rPr>
          <w:rFonts w:eastAsia="Times New Roman"/>
          <w:bCs/>
        </w:rPr>
        <w:t xml:space="preserve"> </w:t>
      </w:r>
      <w:r w:rsidR="00EB45D3" w:rsidRPr="00F17B5B">
        <w:rPr>
          <w:rFonts w:eastAsia="Times New Roman"/>
          <w:bCs/>
        </w:rPr>
        <w:t xml:space="preserve">                  </w:t>
      </w:r>
      <w:r w:rsidR="00F17B5B">
        <w:rPr>
          <w:rFonts w:eastAsia="Times New Roman"/>
          <w:bCs/>
        </w:rPr>
        <w:t xml:space="preserve">                     </w:t>
      </w:r>
      <w:proofErr w:type="gramStart"/>
      <w:r w:rsidR="00437470" w:rsidRPr="00F17B5B">
        <w:rPr>
          <w:rFonts w:eastAsia="Times New Roman"/>
          <w:b/>
          <w:i/>
          <w:iCs/>
          <w:u w:val="single"/>
        </w:rPr>
        <w:t>(4M)</w:t>
      </w:r>
      <w:r w:rsidR="005F699C" w:rsidRPr="00F17B5B">
        <w:rPr>
          <w:rFonts w:eastAsia="Times New Roman"/>
          <w:bCs/>
        </w:rPr>
        <w:t xml:space="preserve"> </w:t>
      </w:r>
      <w:r w:rsidRPr="00F17B5B">
        <w:rPr>
          <w:rFonts w:eastAsia="Arial Unicode MS"/>
          <w:b/>
        </w:rPr>
        <w:t xml:space="preserve">                                                       </w:t>
      </w:r>
      <w:r w:rsidRPr="00F17B5B">
        <w:rPr>
          <w:rFonts w:eastAsia="Times New Roman"/>
          <w:b/>
          <w:bCs/>
        </w:rPr>
        <w:t>3(B</w:t>
      </w:r>
      <w:r w:rsidR="005F699C" w:rsidRPr="00F17B5B">
        <w:rPr>
          <w:rFonts w:eastAsia="Times New Roman"/>
          <w:b/>
          <w:bCs/>
        </w:rPr>
        <w:t>).</w:t>
      </w:r>
      <w:proofErr w:type="gramEnd"/>
      <w:r w:rsidR="005F699C" w:rsidRPr="00F17B5B">
        <w:rPr>
          <w:rFonts w:eastAsia="Times New Roman"/>
        </w:rPr>
        <w:t xml:space="preserve"> What is helical twist and propeller </w:t>
      </w:r>
      <w:proofErr w:type="gramStart"/>
      <w:r w:rsidR="005F699C" w:rsidRPr="00F17B5B">
        <w:rPr>
          <w:rFonts w:eastAsia="Times New Roman"/>
        </w:rPr>
        <w:t>twist.</w:t>
      </w:r>
      <w:proofErr w:type="gramEnd"/>
      <w:r w:rsidR="005F699C" w:rsidRPr="00F17B5B">
        <w:rPr>
          <w:rFonts w:eastAsia="Times New Roman"/>
        </w:rPr>
        <w:t xml:space="preserve"> What is their</w:t>
      </w:r>
      <w:r w:rsidR="00EB45D3" w:rsidRPr="00F17B5B">
        <w:rPr>
          <w:rFonts w:eastAsia="Times New Roman"/>
        </w:rPr>
        <w:t xml:space="preserve"> importance in B-DNA structure?         </w:t>
      </w:r>
      <w:r w:rsidR="00F17B5B">
        <w:rPr>
          <w:rFonts w:eastAsia="Times New Roman"/>
        </w:rPr>
        <w:t xml:space="preserve">                    </w:t>
      </w:r>
      <w:proofErr w:type="gramStart"/>
      <w:r w:rsidR="00437470" w:rsidRPr="00F17B5B">
        <w:rPr>
          <w:rFonts w:eastAsia="Times New Roman"/>
          <w:b/>
          <w:bCs/>
          <w:i/>
          <w:u w:val="single"/>
        </w:rPr>
        <w:t>(4M)</w:t>
      </w:r>
      <w:r w:rsidRPr="00F17B5B">
        <w:rPr>
          <w:rFonts w:eastAsia="Times New Roman"/>
          <w:iCs/>
        </w:rPr>
        <w:t xml:space="preserve">                                      </w:t>
      </w:r>
      <w:r w:rsidRPr="00F17B5B">
        <w:rPr>
          <w:rFonts w:eastAsia="Arial Unicode MS"/>
          <w:b/>
        </w:rPr>
        <w:lastRenderedPageBreak/>
        <w:t>3(C</w:t>
      </w:r>
      <w:r w:rsidR="005F699C" w:rsidRPr="00F17B5B">
        <w:rPr>
          <w:rFonts w:eastAsia="Arial Unicode MS"/>
          <w:b/>
        </w:rPr>
        <w:t>).</w:t>
      </w:r>
      <w:proofErr w:type="gramEnd"/>
      <w:r w:rsidR="005F699C" w:rsidRPr="00F17B5B">
        <w:rPr>
          <w:rFonts w:eastAsia="Arial Unicode MS"/>
          <w:b/>
        </w:rPr>
        <w:t xml:space="preserve"> </w:t>
      </w:r>
      <w:r w:rsidR="005F699C" w:rsidRPr="00F17B5B">
        <w:rPr>
          <w:rFonts w:cs="TimesNewRomanMS"/>
        </w:rPr>
        <w:t>When a mixture of 3-phosphoglycerate and 2-phosphoglycerate is incubated at 25 °C with phosphoglycerate mutase until equilibrium is reached, the final mixture contains six times as</w:t>
      </w:r>
      <w:r w:rsidR="005F699C" w:rsidRPr="00F17B5B">
        <w:rPr>
          <w:rFonts w:cs="TimesNewRomanPSMT"/>
        </w:rPr>
        <w:t xml:space="preserve"> </w:t>
      </w:r>
      <w:r w:rsidR="005F699C" w:rsidRPr="00F17B5B">
        <w:rPr>
          <w:rFonts w:cs="TimesNewRomanMS"/>
        </w:rPr>
        <w:t xml:space="preserve">much 2-phosphoglycerate as 3-phosphoglycerate. For the </w:t>
      </w:r>
      <w:r w:rsidR="005F699C" w:rsidRPr="00F17B5B">
        <w:rPr>
          <w:rFonts w:cs="Times-Roman"/>
        </w:rPr>
        <w:t xml:space="preserve">3-Phosphoglycerate </w:t>
      </w:r>
      <w:r w:rsidR="005F699C" w:rsidRPr="00F17B5B">
        <w:rPr>
          <w:rFonts w:cs="Symbol"/>
        </w:rPr>
        <w:t xml:space="preserve">→ </w:t>
      </w:r>
      <w:r w:rsidR="005F699C" w:rsidRPr="00F17B5B">
        <w:rPr>
          <w:rFonts w:cs="Times-Roman"/>
        </w:rPr>
        <w:t>2-phosphoglycerate</w:t>
      </w:r>
      <w:r w:rsidR="005F699C" w:rsidRPr="00F17B5B">
        <w:rPr>
          <w:rFonts w:cs="TimesNewRomanMS"/>
        </w:rPr>
        <w:t xml:space="preserve"> conversion by obtaining the free energy change in kJ mol</w:t>
      </w:r>
      <w:r w:rsidR="005F699C" w:rsidRPr="00F17B5B">
        <w:rPr>
          <w:rFonts w:cs="TimesNewRomanMS"/>
          <w:vertAlign w:val="superscript"/>
        </w:rPr>
        <w:t>-1</w:t>
      </w:r>
      <w:r w:rsidR="005F699C" w:rsidRPr="00F17B5B">
        <w:rPr>
          <w:rFonts w:cs="TimesNewRomanMS"/>
        </w:rPr>
        <w:t>) comment on the spontaneity of the reaction.   (</w:t>
      </w:r>
      <w:r w:rsidR="005F699C" w:rsidRPr="00F17B5B">
        <w:rPr>
          <w:rFonts w:cs="TimesNewRomanItMS"/>
          <w:i/>
          <w:iCs/>
        </w:rPr>
        <w:t xml:space="preserve">R </w:t>
      </w:r>
      <w:r w:rsidR="005F699C" w:rsidRPr="00F17B5B">
        <w:rPr>
          <w:rFonts w:cs="TimesNewRomanMS"/>
        </w:rPr>
        <w:t>= 8.315 J/</w:t>
      </w:r>
      <w:proofErr w:type="spellStart"/>
      <w:r w:rsidR="005F699C" w:rsidRPr="00F17B5B">
        <w:rPr>
          <w:rFonts w:cs="TimesNewRomanMS"/>
        </w:rPr>
        <w:t>mol·K</w:t>
      </w:r>
      <w:proofErr w:type="spellEnd"/>
      <w:r w:rsidR="005F699C" w:rsidRPr="00F17B5B">
        <w:rPr>
          <w:rFonts w:cs="TimesNewRomanMS"/>
        </w:rPr>
        <w:t xml:space="preserve">; </w:t>
      </w:r>
      <w:r w:rsidR="005F699C" w:rsidRPr="00F17B5B">
        <w:rPr>
          <w:rFonts w:cs="TimesNewRomanItMS"/>
          <w:i/>
          <w:iCs/>
        </w:rPr>
        <w:t xml:space="preserve">T </w:t>
      </w:r>
      <w:r w:rsidR="005F699C" w:rsidRPr="00F17B5B">
        <w:rPr>
          <w:rFonts w:cs="TimesNewRomanMS"/>
        </w:rPr>
        <w:t>= 298 K)</w:t>
      </w:r>
      <w:r w:rsidR="00FB618D" w:rsidRPr="00F17B5B">
        <w:rPr>
          <w:rFonts w:cs="TimesNewRomanMS"/>
        </w:rPr>
        <w:t xml:space="preserve"> </w:t>
      </w:r>
      <w:r w:rsidR="00EB45D3" w:rsidRPr="00F17B5B">
        <w:rPr>
          <w:rFonts w:cs="TimesNewRomanMS"/>
        </w:rPr>
        <w:t xml:space="preserve">            </w:t>
      </w:r>
      <w:r w:rsidR="00F17B5B">
        <w:rPr>
          <w:rFonts w:cs="TimesNewRomanMS"/>
        </w:rPr>
        <w:t xml:space="preserve">                    </w:t>
      </w:r>
      <w:r w:rsidR="00FB618D" w:rsidRPr="00F17B5B">
        <w:rPr>
          <w:rFonts w:cs="TimesNewRomanMS"/>
          <w:b/>
          <w:bCs/>
          <w:i/>
          <w:iCs/>
          <w:u w:val="single"/>
        </w:rPr>
        <w:t>(5M)</w:t>
      </w: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F17B5B">
        <w:rPr>
          <w:rFonts w:cs="Calibri"/>
          <w:b/>
          <w:bCs/>
        </w:rPr>
        <w:t>4(A).</w:t>
      </w:r>
      <w:proofErr w:type="gramEnd"/>
      <w:r w:rsidRPr="00F17B5B">
        <w:rPr>
          <w:rFonts w:cs="Calibri"/>
        </w:rPr>
        <w:t xml:space="preserve"> For two alternative substrates, A &amp; B, the measured K</w:t>
      </w:r>
      <w:r w:rsidRPr="00F17B5B">
        <w:rPr>
          <w:rFonts w:cs="Calibri"/>
          <w:vertAlign w:val="subscript"/>
        </w:rPr>
        <w:t>m</w:t>
      </w:r>
      <w:r w:rsidRPr="00F17B5B">
        <w:rPr>
          <w:rFonts w:cs="Calibri"/>
        </w:rPr>
        <w:t xml:space="preserve"> and </w:t>
      </w:r>
      <w:proofErr w:type="gramStart"/>
      <w:r w:rsidRPr="00F17B5B">
        <w:rPr>
          <w:rFonts w:cs="Calibri"/>
        </w:rPr>
        <w:t>V</w:t>
      </w:r>
      <w:r w:rsidRPr="00F17B5B">
        <w:rPr>
          <w:rFonts w:cs="Calibri"/>
          <w:vertAlign w:val="subscript"/>
        </w:rPr>
        <w:t>max</w:t>
      </w:r>
      <w:r w:rsidRPr="00F17B5B">
        <w:rPr>
          <w:rFonts w:cs="Calibri"/>
        </w:rPr>
        <w:t xml:space="preserve">  for</w:t>
      </w:r>
      <w:proofErr w:type="gramEnd"/>
      <w:r w:rsidRPr="00F17B5B">
        <w:rPr>
          <w:rFonts w:cs="Calibri"/>
        </w:rPr>
        <w:t xml:space="preserve"> the s</w:t>
      </w:r>
      <w:r w:rsidR="00FB618D" w:rsidRPr="00F17B5B">
        <w:rPr>
          <w:rFonts w:cs="Calibri"/>
        </w:rPr>
        <w:t>ame enzyme are: for substrate</w:t>
      </w:r>
      <w:r w:rsidRPr="00F17B5B">
        <w:rPr>
          <w:rFonts w:cs="Calibri"/>
        </w:rPr>
        <w:t xml:space="preserve"> (i) 4.0 </w:t>
      </w:r>
      <w:proofErr w:type="spellStart"/>
      <w:r w:rsidRPr="00F17B5B">
        <w:rPr>
          <w:rFonts w:cs="Calibri"/>
        </w:rPr>
        <w:t>mM</w:t>
      </w:r>
      <w:proofErr w:type="spellEnd"/>
      <w:r w:rsidRPr="00F17B5B">
        <w:rPr>
          <w:rFonts w:cs="Calibri"/>
        </w:rPr>
        <w:t xml:space="preserve">, 25 </w:t>
      </w:r>
      <w:r w:rsidRPr="00F17B5B">
        <w:rPr>
          <w:rFonts w:ascii="Symbol" w:hAnsi="Symbol" w:cs="Calibri"/>
        </w:rPr>
        <w:t></w:t>
      </w:r>
      <w:proofErr w:type="spellStart"/>
      <w:r w:rsidRPr="00F17B5B">
        <w:rPr>
          <w:rFonts w:cs="Calibri"/>
        </w:rPr>
        <w:t>mol</w:t>
      </w:r>
      <w:proofErr w:type="spellEnd"/>
      <w:r w:rsidRPr="00F17B5B">
        <w:rPr>
          <w:rFonts w:cs="Calibri"/>
        </w:rPr>
        <w:t xml:space="preserve">/sec and for substrate (ii) 0.5 </w:t>
      </w:r>
      <w:proofErr w:type="spellStart"/>
      <w:r w:rsidRPr="00F17B5B">
        <w:rPr>
          <w:rFonts w:cs="Calibri"/>
        </w:rPr>
        <w:t>mM</w:t>
      </w:r>
      <w:proofErr w:type="spellEnd"/>
      <w:r w:rsidRPr="00F17B5B">
        <w:rPr>
          <w:rFonts w:cs="Calibri"/>
        </w:rPr>
        <w:t xml:space="preserve">, 15 </w:t>
      </w:r>
      <w:r w:rsidRPr="00F17B5B">
        <w:rPr>
          <w:rFonts w:ascii="Symbol" w:hAnsi="Symbol" w:cs="Calibri"/>
        </w:rPr>
        <w:t></w:t>
      </w:r>
      <w:proofErr w:type="spellStart"/>
      <w:r w:rsidRPr="00F17B5B">
        <w:rPr>
          <w:rFonts w:cs="Calibri"/>
        </w:rPr>
        <w:t>mol</w:t>
      </w:r>
      <w:proofErr w:type="spellEnd"/>
      <w:r w:rsidRPr="00F17B5B">
        <w:rPr>
          <w:rFonts w:cs="Calibri"/>
        </w:rPr>
        <w:t xml:space="preserve">/sec, respectively. At </w:t>
      </w:r>
      <w:r w:rsidRPr="00F17B5B">
        <w:rPr>
          <w:rFonts w:cs="Calibri"/>
          <w:bCs/>
        </w:rPr>
        <w:t>low</w:t>
      </w:r>
      <w:r w:rsidRPr="00F17B5B">
        <w:rPr>
          <w:rFonts w:cs="Calibri"/>
          <w:b/>
          <w:bCs/>
        </w:rPr>
        <w:t xml:space="preserve"> </w:t>
      </w:r>
      <w:r w:rsidRPr="00F17B5B">
        <w:rPr>
          <w:rFonts w:cs="Calibri"/>
        </w:rPr>
        <w:t xml:space="preserve">substrate concentration which substrate will react most rapidly?   Justify your choice showing the working. </w:t>
      </w:r>
      <w:r w:rsidR="00F17B5B">
        <w:rPr>
          <w:rFonts w:cs="Calibri"/>
        </w:rPr>
        <w:t xml:space="preserve">                                                    </w:t>
      </w:r>
      <w:r w:rsidR="00FB618D" w:rsidRPr="00F17B5B">
        <w:rPr>
          <w:rFonts w:cs="Calibri"/>
          <w:b/>
          <w:bCs/>
          <w:i/>
          <w:iCs/>
          <w:u w:val="single"/>
        </w:rPr>
        <w:t>(4M)</w:t>
      </w: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noProof/>
        </w:rPr>
      </w:pPr>
      <w:proofErr w:type="gramStart"/>
      <w:r w:rsidRPr="00F17B5B">
        <w:rPr>
          <w:rFonts w:cs="Calibri"/>
          <w:b/>
          <w:bCs/>
        </w:rPr>
        <w:t>4(B).</w:t>
      </w:r>
      <w:proofErr w:type="gramEnd"/>
      <w:r w:rsidRPr="00F17B5B">
        <w:rPr>
          <w:rFonts w:cs="Calibri"/>
          <w:b/>
          <w:bCs/>
        </w:rPr>
        <w:t xml:space="preserve"> </w:t>
      </w:r>
      <w:r w:rsidRPr="00F17B5B">
        <w:rPr>
          <w:rFonts w:cs="Calibri"/>
        </w:rPr>
        <w:t xml:space="preserve">Between MWC model and sequential model for allosteric enzymes, which one can account for negative cooperativity and why? </w:t>
      </w:r>
      <w:r w:rsidRPr="00F17B5B">
        <w:rPr>
          <w:rFonts w:cs="Arial"/>
        </w:rPr>
        <w:t>Consider the concerted model for cooperative oxygen binding to hemoglobin. The simplest, two-subunit model for the protein is shown below:</w:t>
      </w:r>
      <w:r w:rsidRPr="00F17B5B">
        <w:rPr>
          <w:noProof/>
        </w:rPr>
        <w:t xml:space="preserve"> </w:t>
      </w: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5B">
        <w:rPr>
          <w:rFonts w:cs="Arial"/>
          <w:noProof/>
        </w:rPr>
        <w:drawing>
          <wp:inline distT="0" distB="0" distL="0" distR="0" wp14:anchorId="2A4C1879" wp14:editId="44539B85">
            <wp:extent cx="2686050" cy="1343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67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17B5B">
        <w:rPr>
          <w:rFonts w:cs="Arial"/>
        </w:rPr>
        <w:t>What should be the relationship between KT and KR and between L and L’ in order to achieve positive cooperativity for O</w:t>
      </w:r>
      <w:r w:rsidRPr="00F17B5B">
        <w:rPr>
          <w:rFonts w:cs="Arial"/>
          <w:vertAlign w:val="subscript"/>
        </w:rPr>
        <w:t>2</w:t>
      </w:r>
      <w:r w:rsidRPr="00F17B5B">
        <w:rPr>
          <w:rFonts w:cs="Arial"/>
        </w:rPr>
        <w:t xml:space="preserve"> binding in this model?  (KT </w:t>
      </w:r>
      <w:r w:rsidR="00FB618D" w:rsidRPr="00F17B5B">
        <w:rPr>
          <w:rFonts w:cs="Arial"/>
        </w:rPr>
        <w:t xml:space="preserve">and KR are the dissociation </w:t>
      </w:r>
      <w:r w:rsidRPr="00F17B5B">
        <w:rPr>
          <w:rFonts w:cs="Arial"/>
        </w:rPr>
        <w:t>constants for O</w:t>
      </w:r>
      <w:r w:rsidRPr="00F17B5B">
        <w:rPr>
          <w:rFonts w:cs="Arial"/>
          <w:vertAlign w:val="subscript"/>
        </w:rPr>
        <w:t>2</w:t>
      </w:r>
      <w:r w:rsidRPr="00F17B5B">
        <w:rPr>
          <w:rFonts w:cs="Arial"/>
        </w:rPr>
        <w:t xml:space="preserve"> binding to the T or R state, while L and L’ are the equili</w:t>
      </w:r>
      <w:r w:rsidR="00FB618D" w:rsidRPr="00F17B5B">
        <w:rPr>
          <w:rFonts w:cs="Arial"/>
        </w:rPr>
        <w:t>brium constants for T</w:t>
      </w:r>
      <w:r w:rsidR="00F01A67" w:rsidRPr="00F17B5B">
        <w:rPr>
          <w:rFonts w:cs="Arial"/>
        </w:rPr>
        <w:t>/</w:t>
      </w:r>
      <w:r w:rsidRPr="00F17B5B">
        <w:rPr>
          <w:rFonts w:cs="Arial"/>
        </w:rPr>
        <w:t xml:space="preserve">R and </w:t>
      </w:r>
      <w:proofErr w:type="gramStart"/>
      <w:r w:rsidRPr="00F17B5B">
        <w:rPr>
          <w:rFonts w:cs="Arial"/>
        </w:rPr>
        <w:t>T(</w:t>
      </w:r>
      <w:proofErr w:type="gramEnd"/>
      <w:r w:rsidRPr="00F17B5B">
        <w:rPr>
          <w:rFonts w:cs="Arial"/>
        </w:rPr>
        <w:t>O</w:t>
      </w:r>
      <w:r w:rsidRPr="00F17B5B">
        <w:rPr>
          <w:rFonts w:cs="Arial"/>
          <w:vertAlign w:val="subscript"/>
        </w:rPr>
        <w:t>2</w:t>
      </w:r>
      <w:r w:rsidRPr="00F17B5B">
        <w:rPr>
          <w:rFonts w:cs="Arial"/>
        </w:rPr>
        <w:t>)</w:t>
      </w:r>
      <w:r w:rsidR="00F01A67" w:rsidRPr="00F17B5B">
        <w:rPr>
          <w:rFonts w:cs="Arial"/>
        </w:rPr>
        <w:t>/</w:t>
      </w:r>
      <w:r w:rsidRPr="00F17B5B">
        <w:rPr>
          <w:rFonts w:cs="Arial"/>
        </w:rPr>
        <w:t>R(O</w:t>
      </w:r>
      <w:r w:rsidRPr="00F17B5B">
        <w:rPr>
          <w:rFonts w:cs="Arial"/>
          <w:vertAlign w:val="subscript"/>
        </w:rPr>
        <w:t>2</w:t>
      </w:r>
      <w:r w:rsidRPr="00F17B5B">
        <w:rPr>
          <w:rFonts w:cs="Arial"/>
        </w:rPr>
        <w:t>)</w:t>
      </w:r>
      <w:r w:rsidR="00FB618D" w:rsidRPr="00F17B5B">
        <w:rPr>
          <w:rFonts w:cs="Arial"/>
        </w:rPr>
        <w:t xml:space="preserve">. </w:t>
      </w:r>
      <w:r w:rsidR="00EB45D3" w:rsidRPr="00F17B5B">
        <w:rPr>
          <w:rFonts w:cs="Arial"/>
        </w:rPr>
        <w:t xml:space="preserve">                             </w:t>
      </w:r>
      <w:r w:rsidR="00F17B5B">
        <w:rPr>
          <w:rFonts w:cs="Arial"/>
        </w:rPr>
        <w:t xml:space="preserve">                                                           </w:t>
      </w:r>
      <w:r w:rsidR="00EB45D3" w:rsidRPr="00F17B5B">
        <w:rPr>
          <w:rFonts w:cs="Arial"/>
          <w:b/>
          <w:bCs/>
          <w:i/>
          <w:iCs/>
          <w:u w:val="single"/>
        </w:rPr>
        <w:t>(4M)</w:t>
      </w:r>
    </w:p>
    <w:p w:rsidR="00EB45D3" w:rsidRDefault="00EB45D3" w:rsidP="00EB45D3">
      <w:pPr>
        <w:autoSpaceDE w:val="0"/>
        <w:autoSpaceDN w:val="0"/>
        <w:adjustRightInd w:val="0"/>
        <w:spacing w:after="0" w:line="240" w:lineRule="auto"/>
        <w:rPr>
          <w:rFonts w:ascii="Calibri" w:hAnsi="Calibri" w:cs="Wingdings"/>
          <w:b/>
          <w:bCs/>
          <w:i/>
          <w:iCs/>
          <w:u w:val="single"/>
        </w:rPr>
      </w:pPr>
      <w:proofErr w:type="gramStart"/>
      <w:r w:rsidRPr="00F17B5B">
        <w:rPr>
          <w:b/>
          <w:bCs/>
        </w:rPr>
        <w:t>4(C).</w:t>
      </w:r>
      <w:proofErr w:type="gramEnd"/>
      <w:r w:rsidRPr="00F17B5B">
        <w:t xml:space="preserve"> </w:t>
      </w:r>
      <w:r w:rsidR="005F699C" w:rsidRPr="00F17B5B">
        <w:rPr>
          <w:rFonts w:ascii="Calibri" w:hAnsi="Calibri" w:cs="Wingdings"/>
        </w:rPr>
        <w:t>Calculate the reaction velocity, v for [S] = 10 K</w:t>
      </w:r>
      <w:r w:rsidR="005F699C" w:rsidRPr="00F17B5B">
        <w:rPr>
          <w:rFonts w:ascii="Calibri" w:hAnsi="Calibri" w:cs="Wingdings"/>
          <w:vertAlign w:val="subscript"/>
        </w:rPr>
        <w:t>M</w:t>
      </w:r>
      <w:r w:rsidR="005F699C" w:rsidRPr="00F17B5B">
        <w:rPr>
          <w:rFonts w:ascii="Calibri" w:hAnsi="Calibri" w:cs="Wingdings"/>
        </w:rPr>
        <w:t>. Show the value as a percentage of V</w:t>
      </w:r>
      <w:r w:rsidR="005F699C" w:rsidRPr="00F17B5B">
        <w:rPr>
          <w:rFonts w:ascii="Calibri" w:hAnsi="Calibri" w:cs="Wingdings"/>
          <w:vertAlign w:val="subscript"/>
        </w:rPr>
        <w:t>max</w:t>
      </w:r>
      <w:r w:rsidRPr="00F17B5B">
        <w:rPr>
          <w:rFonts w:ascii="Calibri" w:hAnsi="Calibri" w:cs="Wingdings"/>
        </w:rPr>
        <w:t xml:space="preserve">. </w:t>
      </w:r>
      <w:r w:rsidR="005F699C" w:rsidRPr="00F17B5B">
        <w:t xml:space="preserve">Indicate the x and y axes in the </w:t>
      </w:r>
      <w:proofErr w:type="spellStart"/>
      <w:r w:rsidR="005F699C" w:rsidRPr="00F17B5B">
        <w:t>Lineweaver</w:t>
      </w:r>
      <w:proofErr w:type="spellEnd"/>
      <w:r w:rsidR="005F699C" w:rsidRPr="00F17B5B">
        <w:t xml:space="preserve">-Burk plot for an enzyme catalyzed reaction exhibiting </w:t>
      </w:r>
      <w:proofErr w:type="spellStart"/>
      <w:r w:rsidR="005F699C" w:rsidRPr="00F17B5B">
        <w:t>Michaelis</w:t>
      </w:r>
      <w:proofErr w:type="spellEnd"/>
      <w:r w:rsidR="005F699C" w:rsidRPr="00F17B5B">
        <w:t xml:space="preserve">- </w:t>
      </w:r>
      <w:proofErr w:type="spellStart"/>
      <w:r w:rsidR="005F699C" w:rsidRPr="00F17B5B">
        <w:t>Menton</w:t>
      </w:r>
      <w:proofErr w:type="spellEnd"/>
      <w:r w:rsidR="005F699C" w:rsidRPr="00F17B5B">
        <w:t xml:space="preserve"> kinetics and show how K</w:t>
      </w:r>
      <w:r w:rsidR="005F699C" w:rsidRPr="00F17B5B">
        <w:rPr>
          <w:vertAlign w:val="subscript"/>
        </w:rPr>
        <w:t>M</w:t>
      </w:r>
      <w:r w:rsidR="005F699C" w:rsidRPr="00F17B5B">
        <w:t xml:space="preserve"> and V</w:t>
      </w:r>
      <w:r w:rsidR="005F699C" w:rsidRPr="00F17B5B">
        <w:rPr>
          <w:vertAlign w:val="subscript"/>
        </w:rPr>
        <w:t>max</w:t>
      </w:r>
      <w:r w:rsidR="005F699C" w:rsidRPr="00F17B5B">
        <w:t xml:space="preserve"> can be </w:t>
      </w:r>
      <w:proofErr w:type="gramStart"/>
      <w:r w:rsidR="005F699C" w:rsidRPr="00F17B5B">
        <w:t>determined .</w:t>
      </w:r>
      <w:proofErr w:type="gramEnd"/>
      <w:r w:rsidR="005F699C" w:rsidRPr="00F17B5B">
        <w:t xml:space="preserve"> On each plot, indicate how K</w:t>
      </w:r>
      <w:r w:rsidR="005F699C" w:rsidRPr="00F17B5B">
        <w:rPr>
          <w:vertAlign w:val="subscript"/>
        </w:rPr>
        <w:t>M</w:t>
      </w:r>
      <w:r w:rsidR="005F699C" w:rsidRPr="00F17B5B">
        <w:t xml:space="preserve"> and V</w:t>
      </w:r>
      <w:r w:rsidR="005F699C" w:rsidRPr="00F17B5B">
        <w:rPr>
          <w:vertAlign w:val="subscript"/>
        </w:rPr>
        <w:t>max</w:t>
      </w:r>
      <w:r w:rsidR="005F699C" w:rsidRPr="00F17B5B">
        <w:t xml:space="preserve"> will be affected. </w:t>
      </w:r>
      <w:proofErr w:type="gramStart"/>
      <w:r w:rsidR="005F699C" w:rsidRPr="00F17B5B">
        <w:t>would</w:t>
      </w:r>
      <w:proofErr w:type="gramEnd"/>
      <w:r w:rsidR="005F699C" w:rsidRPr="00F17B5B">
        <w:t xml:space="preserve"> be affected by the presence of a competitive inh</w:t>
      </w:r>
      <w:bookmarkStart w:id="0" w:name="_GoBack"/>
      <w:bookmarkEnd w:id="0"/>
      <w:r w:rsidR="005F699C" w:rsidRPr="00F17B5B">
        <w:t>ibitor</w:t>
      </w:r>
      <w:r w:rsidR="00FB618D" w:rsidRPr="00F17B5B">
        <w:t xml:space="preserve">. </w:t>
      </w:r>
      <w:r w:rsidRPr="00F17B5B">
        <w:t xml:space="preserve">                                                                      </w:t>
      </w:r>
      <w:r w:rsidR="00F17B5B">
        <w:t xml:space="preserve">                                                </w:t>
      </w:r>
      <w:r w:rsidRPr="00F17B5B">
        <w:rPr>
          <w:rFonts w:ascii="Calibri" w:hAnsi="Calibri" w:cs="Wingdings"/>
          <w:b/>
          <w:bCs/>
          <w:i/>
          <w:iCs/>
          <w:u w:val="single"/>
        </w:rPr>
        <w:t>(4</w:t>
      </w:r>
      <w:r w:rsidRPr="00F17B5B">
        <w:rPr>
          <w:rFonts w:ascii="Calibri" w:hAnsi="Calibri" w:cs="Wingdings"/>
          <w:b/>
          <w:bCs/>
          <w:i/>
          <w:iCs/>
          <w:u w:val="single"/>
        </w:rPr>
        <w:t>+2</w:t>
      </w:r>
      <w:r w:rsidRPr="00F17B5B">
        <w:rPr>
          <w:rFonts w:ascii="Calibri" w:hAnsi="Calibri" w:cs="Wingdings"/>
          <w:b/>
          <w:bCs/>
          <w:i/>
          <w:iCs/>
          <w:u w:val="single"/>
        </w:rPr>
        <w:t>M)</w:t>
      </w:r>
    </w:p>
    <w:p w:rsidR="00C123B1" w:rsidRPr="00C123B1" w:rsidRDefault="00C123B1" w:rsidP="00C123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C123B1">
        <w:rPr>
          <w:rFonts w:ascii="Calibri" w:hAnsi="Calibri" w:cs="Wingdings"/>
          <w:b/>
          <w:bCs/>
        </w:rPr>
        <w:t>*****************</w:t>
      </w: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F699C" w:rsidRPr="00F17B5B" w:rsidRDefault="005F699C" w:rsidP="00F01A6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F699C" w:rsidRPr="00F17B5B" w:rsidRDefault="005F699C" w:rsidP="00F01A67">
      <w:pPr>
        <w:spacing w:before="100" w:beforeAutospacing="1" w:after="100" w:afterAutospacing="1" w:line="240" w:lineRule="auto"/>
        <w:rPr>
          <w:rFonts w:ascii="Times New Roman" w:eastAsia="Arial Unicode MS" w:hAnsi="Times New Roman"/>
          <w:b/>
        </w:rPr>
      </w:pPr>
    </w:p>
    <w:p w:rsidR="005F699C" w:rsidRPr="00F17B5B" w:rsidRDefault="005F699C" w:rsidP="00F01A6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</w:rPr>
      </w:pPr>
    </w:p>
    <w:p w:rsidR="005F699C" w:rsidRPr="005F699C" w:rsidRDefault="005F699C" w:rsidP="00F01A67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  <w:sz w:val="24"/>
          <w:szCs w:val="24"/>
        </w:rPr>
      </w:pPr>
      <w:r>
        <w:rPr>
          <w:rFonts w:cs="Calibri"/>
          <w:color w:val="0000FF"/>
          <w:sz w:val="24"/>
          <w:szCs w:val="24"/>
        </w:rPr>
        <w:t xml:space="preserve"> </w:t>
      </w:r>
    </w:p>
    <w:p w:rsidR="005F699C" w:rsidRPr="005E0F09" w:rsidRDefault="005F699C" w:rsidP="00F01A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5F699C" w:rsidRDefault="005F699C" w:rsidP="00F01A67"/>
    <w:sectPr w:rsidR="005F699C" w:rsidSect="00C0495B">
      <w:pgSz w:w="12240" w:h="15840"/>
      <w:pgMar w:top="72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I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DD1"/>
    <w:multiLevelType w:val="hybridMultilevel"/>
    <w:tmpl w:val="0DB2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54D"/>
    <w:multiLevelType w:val="hybridMultilevel"/>
    <w:tmpl w:val="B5529CDC"/>
    <w:lvl w:ilvl="0" w:tplc="1D72EBDA">
      <w:start w:val="1"/>
      <w:numFmt w:val="lowerRoman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8710B"/>
    <w:multiLevelType w:val="hybridMultilevel"/>
    <w:tmpl w:val="0DB2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7794D"/>
    <w:multiLevelType w:val="hybridMultilevel"/>
    <w:tmpl w:val="4D121926"/>
    <w:lvl w:ilvl="0" w:tplc="1D1063A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2AB3"/>
    <w:multiLevelType w:val="hybridMultilevel"/>
    <w:tmpl w:val="0DB2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633D"/>
    <w:multiLevelType w:val="hybridMultilevel"/>
    <w:tmpl w:val="0DB2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0457E"/>
    <w:multiLevelType w:val="hybridMultilevel"/>
    <w:tmpl w:val="0DB2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F7082"/>
    <w:multiLevelType w:val="hybridMultilevel"/>
    <w:tmpl w:val="0DB2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9C"/>
    <w:rsid w:val="00223847"/>
    <w:rsid w:val="002F2BCF"/>
    <w:rsid w:val="00411402"/>
    <w:rsid w:val="00437470"/>
    <w:rsid w:val="004B4888"/>
    <w:rsid w:val="004D4F1D"/>
    <w:rsid w:val="005F699C"/>
    <w:rsid w:val="007B3CB2"/>
    <w:rsid w:val="008C4798"/>
    <w:rsid w:val="00C0495B"/>
    <w:rsid w:val="00C123B1"/>
    <w:rsid w:val="00C278C5"/>
    <w:rsid w:val="00EB45D3"/>
    <w:rsid w:val="00F01A67"/>
    <w:rsid w:val="00F1782E"/>
    <w:rsid w:val="00F17B5B"/>
    <w:rsid w:val="00FB1D0E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9C"/>
    <w:pPr>
      <w:ind w:left="720"/>
      <w:contextualSpacing/>
    </w:pPr>
    <w:rPr>
      <w:rFonts w:ascii="Calibri" w:eastAsia="Calibri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9C"/>
    <w:pPr>
      <w:ind w:left="720"/>
      <w:contextualSpacing/>
    </w:pPr>
    <w:rPr>
      <w:rFonts w:ascii="Calibri" w:eastAsia="Calibri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2022-10-28T06:34:00Z</dcterms:created>
  <dcterms:modified xsi:type="dcterms:W3CDTF">2022-10-28T10:28:00Z</dcterms:modified>
</cp:coreProperties>
</file>